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567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F7140">
              <w:rPr>
                <w:noProof/>
                <w:webHidden/>
              </w:rPr>
              <w:t>2</w:t>
            </w:r>
            <w:r>
              <w:rPr>
                <w:noProof/>
                <w:webHidden/>
              </w:rPr>
              <w:fldChar w:fldCharType="end"/>
            </w:r>
          </w:hyperlink>
        </w:p>
        <w:p w14:paraId="47CC41D1" w14:textId="221EBD42" w:rsidR="00F46719" w:rsidRDefault="006567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0205BF1A" w14:textId="75F9B70C" w:rsidR="00F46719" w:rsidRDefault="006567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181098F" w14:textId="4E1C5026" w:rsidR="00F46719" w:rsidRDefault="006567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E5886DF" w14:textId="35B70874" w:rsidR="00F46719" w:rsidRDefault="006567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F7140">
              <w:rPr>
                <w:noProof/>
                <w:webHidden/>
              </w:rPr>
              <w:t>4</w:t>
            </w:r>
            <w:r w:rsidR="00F46719">
              <w:rPr>
                <w:noProof/>
                <w:webHidden/>
              </w:rPr>
              <w:fldChar w:fldCharType="end"/>
            </w:r>
          </w:hyperlink>
        </w:p>
        <w:p w14:paraId="653AF446" w14:textId="2C9BE871" w:rsidR="00F46719" w:rsidRDefault="006567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F7140">
              <w:rPr>
                <w:noProof/>
                <w:webHidden/>
              </w:rPr>
              <w:t>5</w:t>
            </w:r>
            <w:r w:rsidR="00F46719">
              <w:rPr>
                <w:noProof/>
                <w:webHidden/>
              </w:rPr>
              <w:fldChar w:fldCharType="end"/>
            </w:r>
          </w:hyperlink>
        </w:p>
        <w:p w14:paraId="21BA046A" w14:textId="37DC928C" w:rsidR="00F46719" w:rsidRDefault="006567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F7140">
              <w:rPr>
                <w:noProof/>
                <w:webHidden/>
              </w:rPr>
              <w:t>6</w:t>
            </w:r>
            <w:r w:rsidR="00F46719">
              <w:rPr>
                <w:noProof/>
                <w:webHidden/>
              </w:rPr>
              <w:fldChar w:fldCharType="end"/>
            </w:r>
          </w:hyperlink>
        </w:p>
        <w:p w14:paraId="784807F5" w14:textId="0B009106" w:rsidR="00F46719" w:rsidRDefault="006567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F7140">
              <w:rPr>
                <w:noProof/>
                <w:webHidden/>
              </w:rPr>
              <w:t>7</w:t>
            </w:r>
            <w:r w:rsidR="00F46719">
              <w:rPr>
                <w:noProof/>
                <w:webHidden/>
              </w:rPr>
              <w:fldChar w:fldCharType="end"/>
            </w:r>
          </w:hyperlink>
        </w:p>
        <w:p w14:paraId="7E663DB5" w14:textId="180385E7" w:rsidR="00F46719" w:rsidRDefault="006567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F7140">
              <w:rPr>
                <w:noProof/>
                <w:webHidden/>
              </w:rPr>
              <w:t>8</w:t>
            </w:r>
            <w:r w:rsidR="00F46719">
              <w:rPr>
                <w:noProof/>
                <w:webHidden/>
              </w:rPr>
              <w:fldChar w:fldCharType="end"/>
            </w:r>
          </w:hyperlink>
        </w:p>
        <w:p w14:paraId="335A44C3" w14:textId="015548D8" w:rsidR="00F46719" w:rsidRDefault="006567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290CB7FF" w14:textId="1E90990E" w:rsidR="00F46719" w:rsidRDefault="006567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67FB6C3B" w14:textId="0410ED3E" w:rsidR="00F46719" w:rsidRDefault="006567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3373EEEC" w14:textId="43E71DEC" w:rsidR="00F46719" w:rsidRDefault="006567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01A1A543" w14:textId="550A878F" w:rsidR="00F46719" w:rsidRDefault="006567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14DA06E" w14:textId="7545E7CB" w:rsidR="00F46719" w:rsidRDefault="006567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0A10726F" w14:textId="06066D8D" w:rsidR="00F46719" w:rsidRDefault="006567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402BC77" w14:textId="4E425D78" w:rsidR="00F46719" w:rsidRDefault="006567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F7140">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r w:rsidRPr="000A63E8">
        <w:rPr>
          <w:rFonts w:ascii="Arial" w:hAnsi="Arial" w:cs="Arial"/>
          <w:i/>
          <w:sz w:val="20"/>
          <w:szCs w:val="20"/>
        </w:rPr>
        <w:t>el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46347448"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w:t>
      </w:r>
      <w:r w:rsidR="004C590B">
        <w:rPr>
          <w:rFonts w:ascii="Arial" w:hAnsi="Arial" w:cs="Arial"/>
          <w:i/>
          <w:sz w:val="20"/>
          <w:szCs w:val="20"/>
        </w:rPr>
        <w:t>3</w:t>
      </w:r>
      <w:bookmarkStart w:id="4" w:name="_GoBack"/>
      <w:bookmarkEnd w:id="4"/>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lastRenderedPageBreak/>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5545" w14:textId="77777777" w:rsidR="006567FB" w:rsidRDefault="006567FB" w:rsidP="00E00323">
      <w:pPr>
        <w:spacing w:after="0" w:line="240" w:lineRule="auto"/>
      </w:pPr>
      <w:r>
        <w:separator/>
      </w:r>
    </w:p>
  </w:endnote>
  <w:endnote w:type="continuationSeparator" w:id="0">
    <w:p w14:paraId="50419331" w14:textId="77777777" w:rsidR="006567FB" w:rsidRDefault="006567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F7140" w:rsidRPr="00BF714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3C21" w14:textId="77777777" w:rsidR="006567FB" w:rsidRDefault="006567FB" w:rsidP="00E00323">
      <w:pPr>
        <w:spacing w:after="0" w:line="240" w:lineRule="auto"/>
      </w:pPr>
      <w:r>
        <w:separator/>
      </w:r>
    </w:p>
  </w:footnote>
  <w:footnote w:type="continuationSeparator" w:id="0">
    <w:p w14:paraId="3DFC5D0D" w14:textId="77777777" w:rsidR="006567FB" w:rsidRDefault="006567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ACA42BE" w:rsidR="00154BA3" w:rsidRDefault="005F164F" w:rsidP="00A4610E">
    <w:pPr>
      <w:pStyle w:val="Encabezado"/>
      <w:spacing w:after="0" w:line="240" w:lineRule="auto"/>
      <w:jc w:val="center"/>
    </w:pPr>
    <w:r>
      <w:t>SISTEMA DE AGUA POTABLE Y ALCANTARILLADO DE ROMITA</w:t>
    </w:r>
  </w:p>
  <w:p w14:paraId="651A4C4F" w14:textId="5A0C6A9A" w:rsidR="00A4610E" w:rsidRDefault="002D121B" w:rsidP="00A4610E">
    <w:pPr>
      <w:pStyle w:val="Encabezado"/>
      <w:spacing w:after="0" w:line="240" w:lineRule="auto"/>
      <w:jc w:val="center"/>
    </w:pPr>
    <w:r>
      <w:t>AL 3</w:t>
    </w:r>
    <w:r w:rsidR="00BF7140">
      <w:t>1</w:t>
    </w:r>
    <w:r w:rsidR="0018458D">
      <w:t xml:space="preserve"> DE </w:t>
    </w:r>
    <w:r w:rsidR="004C590B">
      <w:t>MARZO</w:t>
    </w:r>
    <w:r>
      <w:t xml:space="preserve"> DE 202</w:t>
    </w:r>
    <w:r w:rsidR="004C590B">
      <w:t>3</w:t>
    </w:r>
  </w:p>
  <w:p w14:paraId="296288BD" w14:textId="77777777" w:rsidR="004C590B" w:rsidRDefault="004C590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8458D"/>
    <w:rsid w:val="001973A2"/>
    <w:rsid w:val="001C75F2"/>
    <w:rsid w:val="001D2063"/>
    <w:rsid w:val="001D43E9"/>
    <w:rsid w:val="00232175"/>
    <w:rsid w:val="002D121B"/>
    <w:rsid w:val="003453CA"/>
    <w:rsid w:val="00435A87"/>
    <w:rsid w:val="004A58C8"/>
    <w:rsid w:val="004C590B"/>
    <w:rsid w:val="004F234D"/>
    <w:rsid w:val="0054701E"/>
    <w:rsid w:val="005B5531"/>
    <w:rsid w:val="005D3E43"/>
    <w:rsid w:val="005E231E"/>
    <w:rsid w:val="005F164F"/>
    <w:rsid w:val="006567FB"/>
    <w:rsid w:val="00657009"/>
    <w:rsid w:val="00681C79"/>
    <w:rsid w:val="006B5BFE"/>
    <w:rsid w:val="007610BC"/>
    <w:rsid w:val="007714AB"/>
    <w:rsid w:val="007D1E76"/>
    <w:rsid w:val="007D4484"/>
    <w:rsid w:val="0086459F"/>
    <w:rsid w:val="008C3BB8"/>
    <w:rsid w:val="008E076C"/>
    <w:rsid w:val="0092765C"/>
    <w:rsid w:val="00966EDC"/>
    <w:rsid w:val="00A4610E"/>
    <w:rsid w:val="00A730E0"/>
    <w:rsid w:val="00AA41E5"/>
    <w:rsid w:val="00AB722B"/>
    <w:rsid w:val="00AE1F6A"/>
    <w:rsid w:val="00BF7140"/>
    <w:rsid w:val="00C97E1E"/>
    <w:rsid w:val="00CB41C4"/>
    <w:rsid w:val="00CC0E3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A35D3D0-E832-4515-ABA5-89E579F7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8</cp:revision>
  <cp:lastPrinted>2023-01-25T18:06:00Z</cp:lastPrinted>
  <dcterms:created xsi:type="dcterms:W3CDTF">2021-04-28T20:09:00Z</dcterms:created>
  <dcterms:modified xsi:type="dcterms:W3CDTF">2023-05-03T19:06:00Z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